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6F" w:rsidRPr="004D016F" w:rsidRDefault="004D016F" w:rsidP="004D016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D016F">
        <w:rPr>
          <w:rFonts w:ascii="Times New Roman" w:eastAsia="Times New Roman" w:hAnsi="Times New Roman" w:cs="Times New Roman"/>
          <w:b/>
          <w:bCs/>
          <w:sz w:val="40"/>
          <w:szCs w:val="40"/>
        </w:rPr>
        <w:t>The Rules of Affinity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-</w:t>
      </w:r>
      <w:r w:rsidRPr="004D016F">
        <w:rPr>
          <w:rFonts w:ascii="Times New Roman" w:eastAsia="Times New Roman" w:hAnsi="Times New Roman" w:cs="Times New Roman"/>
          <w:b/>
          <w:bCs/>
          <w:sz w:val="40"/>
          <w:szCs w:val="40"/>
        </w:rPr>
        <w:t> Simplified</w:t>
      </w:r>
    </w:p>
    <w:p w:rsidR="004D016F" w:rsidRDefault="004D016F" w:rsidP="004D0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</w:rPr>
      </w:pPr>
    </w:p>
    <w:p w:rsidR="004D016F" w:rsidRPr="004D016F" w:rsidRDefault="004D016F" w:rsidP="004D0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016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</w:rPr>
        <w:t>Premise</w:t>
      </w:r>
      <w:proofErr w:type="gramStart"/>
      <w:r w:rsidRPr="004D016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</w:rPr>
        <w:t>:</w:t>
      </w:r>
      <w:r w:rsidRPr="004D016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If</w:t>
      </w:r>
      <w:proofErr w:type="spellEnd"/>
      <w:proofErr w:type="gramEnd"/>
      <w:r w:rsidRPr="004D016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 xml:space="preserve"> all Scripture is God-breathed and profitable for doctrine, it is imperative that our doctrines line up with Scripture</w:t>
      </w:r>
    </w:p>
    <w:p w:rsidR="004D016F" w:rsidRPr="004D016F" w:rsidRDefault="004D016F" w:rsidP="004D0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F">
        <w:rPr>
          <w:rFonts w:ascii="Times New Roman" w:eastAsia="Times New Roman" w:hAnsi="Times New Roman" w:cs="Times New Roman"/>
          <w:sz w:val="24"/>
          <w:szCs w:val="24"/>
        </w:rPr>
        <w:t>The ‘Rules’ demonstrate that some doctrines line up much more closely to Scripture than others.  Those with a very strong, direct “affinity” are ranked in the first category (C1).  Those with the weakest claim to any affinity with the text of the Bible are ranked category five (C5).</w:t>
      </w:r>
    </w:p>
    <w:p w:rsidR="004D016F" w:rsidRPr="004D016F" w:rsidRDefault="004D016F" w:rsidP="004D0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C1</w:t>
      </w:r>
      <w:r w:rsidRPr="004D01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= a </w:t>
      </w:r>
      <w:r w:rsidRPr="004D01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direct statement</w:t>
      </w:r>
    </w:p>
    <w:p w:rsidR="004D016F" w:rsidRPr="004D016F" w:rsidRDefault="004D016F" w:rsidP="004D0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Examples include: </w:t>
      </w:r>
    </w:p>
    <w:p w:rsidR="004D016F" w:rsidRPr="004D016F" w:rsidRDefault="004D016F" w:rsidP="004D01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·         </w:t>
      </w:r>
      <w:r w:rsidRPr="004D016F">
        <w:rPr>
          <w:rFonts w:ascii="Times New Roman" w:eastAsia="Times New Roman" w:hAnsi="Times New Roman" w:cs="Times New Roman"/>
          <w:b/>
          <w:bCs/>
          <w:sz w:val="24"/>
          <w:szCs w:val="24"/>
        </w:rPr>
        <w:t>Creation out of nothing</w:t>
      </w:r>
      <w:r w:rsidRPr="004D01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“The Triune God created the heavens and the earth out of nothing.” – Gen. 1:1f; Isa. 40:28; 45:12; Jer. 10:12; Jn. 1:3; Col. 1:15-16; Heb. 1:2; Heb. 11:3; Rom. 11:36</w:t>
      </w:r>
    </w:p>
    <w:p w:rsidR="004D016F" w:rsidRPr="004D016F" w:rsidRDefault="004D016F" w:rsidP="004D01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·         </w:t>
      </w:r>
      <w:r w:rsidRPr="004D016F">
        <w:rPr>
          <w:rFonts w:ascii="Times New Roman" w:eastAsia="Times New Roman" w:hAnsi="Times New Roman" w:cs="Times New Roman"/>
          <w:b/>
          <w:bCs/>
          <w:sz w:val="24"/>
          <w:szCs w:val="24"/>
        </w:rPr>
        <w:t>Christ died for all sinners (whosoever believes)</w:t>
      </w:r>
      <w:r w:rsidRPr="004D01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“Christ died for all men (sinners).” – Isa. 53:6; Jn. 1:29; 3:16-17; Rom. 5:6; 1 Tim. 2:4-6; 4:10; 1 Jn. 2:2; Heb. 2:9, 10:29</w:t>
      </w:r>
    </w:p>
    <w:p w:rsidR="004D016F" w:rsidRPr="004D016F" w:rsidRDefault="004D016F" w:rsidP="004D0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F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4D016F" w:rsidRPr="004D016F" w:rsidRDefault="004D016F" w:rsidP="004D016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F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</w:rPr>
        <w:t>Most fundamental doctrines are a C1.  A C1 doctrine is taught via a direct quotation of Scripture.</w:t>
      </w:r>
    </w:p>
    <w:p w:rsidR="004D016F" w:rsidRPr="004D016F" w:rsidRDefault="004D016F" w:rsidP="004D0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F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4D016F" w:rsidRPr="004D016F" w:rsidRDefault="004D016F" w:rsidP="004D0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C2</w:t>
      </w:r>
      <w:r w:rsidRPr="004D01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= a </w:t>
      </w:r>
      <w:r w:rsidRPr="004D01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strong inference</w:t>
      </w:r>
    </w:p>
    <w:p w:rsidR="004D016F" w:rsidRPr="004D016F" w:rsidRDefault="004D016F" w:rsidP="004D0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D016F" w:rsidRPr="004D016F" w:rsidRDefault="004D016F" w:rsidP="004D0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Examples include: </w:t>
      </w:r>
    </w:p>
    <w:p w:rsidR="004D016F" w:rsidRPr="004D016F" w:rsidRDefault="004D016F" w:rsidP="004D01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·         </w:t>
      </w:r>
      <w:r w:rsidRPr="004D016F">
        <w:rPr>
          <w:rFonts w:ascii="Times New Roman" w:eastAsia="Times New Roman" w:hAnsi="Times New Roman" w:cs="Times New Roman"/>
          <w:b/>
          <w:bCs/>
          <w:sz w:val="24"/>
          <w:szCs w:val="24"/>
        </w:rPr>
        <w:t>Inerrancy</w:t>
      </w:r>
      <w:r w:rsidRPr="004D01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“The inspired Scriptures are the Word of God before they are the words of men.” – </w:t>
      </w:r>
    </w:p>
    <w:p w:rsidR="004D016F" w:rsidRPr="004D016F" w:rsidRDefault="004D016F" w:rsidP="004D0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F">
        <w:rPr>
          <w:rFonts w:ascii="Times New Roman" w:eastAsia="Times New Roman" w:hAnsi="Times New Roman" w:cs="Times New Roman"/>
          <w:i/>
          <w:iCs/>
          <w:sz w:val="24"/>
          <w:szCs w:val="24"/>
        </w:rPr>
        <w:t>2 Tim. 3:16; Psa. 12:6; Jn. 17:17; 2 Pet. 1:19-21</w:t>
      </w:r>
    </w:p>
    <w:p w:rsidR="004D016F" w:rsidRPr="004D016F" w:rsidRDefault="004D016F" w:rsidP="004D01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·         </w:t>
      </w:r>
      <w:r w:rsidRPr="004D016F">
        <w:rPr>
          <w:rFonts w:ascii="Times New Roman" w:eastAsia="Times New Roman" w:hAnsi="Times New Roman" w:cs="Times New Roman"/>
          <w:b/>
          <w:bCs/>
          <w:sz w:val="24"/>
          <w:szCs w:val="24"/>
        </w:rPr>
        <w:t>The Trinity</w:t>
      </w:r>
      <w:r w:rsidRPr="004D01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“God exists as one substance yet in three divine, </w:t>
      </w:r>
      <w:proofErr w:type="gramStart"/>
      <w:r w:rsidRPr="004D016F">
        <w:rPr>
          <w:rFonts w:ascii="Times New Roman" w:eastAsia="Times New Roman" w:hAnsi="Times New Roman" w:cs="Times New Roman"/>
          <w:i/>
          <w:iCs/>
          <w:sz w:val="24"/>
          <w:szCs w:val="24"/>
        </w:rPr>
        <w:t>co-equal</w:t>
      </w:r>
      <w:proofErr w:type="gramEnd"/>
      <w:r w:rsidRPr="004D016F">
        <w:rPr>
          <w:rFonts w:ascii="Times New Roman" w:eastAsia="Times New Roman" w:hAnsi="Times New Roman" w:cs="Times New Roman"/>
          <w:i/>
          <w:iCs/>
          <w:sz w:val="24"/>
          <w:szCs w:val="24"/>
        </w:rPr>
        <w:t>, distinct, yet eternally inseparable ‘Persons’.  God is one yet three, though in different modes of being.” – Deut. 6:4; Matt. 28:19; Jn. 1:1-3, 18; 14:15-17; 20:28; Acts 5:3-4; 2 Cor. 13:14; Heb. 9:14, 10:28-29</w:t>
      </w:r>
    </w:p>
    <w:p w:rsidR="004D016F" w:rsidRPr="004D016F" w:rsidRDefault="004D016F" w:rsidP="004D016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F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</w:rPr>
        <w:lastRenderedPageBreak/>
        <w:t>A C2 is established on the witness of several clear C1 passages.</w:t>
      </w:r>
    </w:p>
    <w:p w:rsidR="004D016F" w:rsidRPr="004D016F" w:rsidRDefault="004D016F" w:rsidP="004D0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F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</w:rPr>
        <w:t> </w:t>
      </w:r>
      <w:r w:rsidRPr="004D016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</w:rPr>
        <w:t>Premise</w:t>
      </w:r>
      <w:r w:rsidRPr="004D016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: Every major doctrine is a C1 or C2.</w:t>
      </w:r>
    </w:p>
    <w:p w:rsidR="004D016F" w:rsidRPr="004D016F" w:rsidRDefault="004D016F" w:rsidP="004D0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C3</w:t>
      </w:r>
      <w:r w:rsidRPr="004D01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= an </w:t>
      </w:r>
      <w:r w:rsidRPr="004D01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inference to the best explanation</w:t>
      </w:r>
    </w:p>
    <w:p w:rsidR="004D016F" w:rsidRPr="004D016F" w:rsidRDefault="004D016F" w:rsidP="004D0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D016F" w:rsidRPr="004D016F" w:rsidRDefault="004D016F" w:rsidP="004D0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Examples include: </w:t>
      </w:r>
    </w:p>
    <w:p w:rsidR="004D016F" w:rsidRPr="004D016F" w:rsidRDefault="004D016F" w:rsidP="004D01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F">
        <w:rPr>
          <w:rFonts w:ascii="Times New Roman" w:eastAsia="Times New Roman" w:hAnsi="Times New Roman" w:cs="Times New Roman"/>
          <w:b/>
          <w:bCs/>
          <w:sz w:val="24"/>
          <w:szCs w:val="24"/>
        </w:rPr>
        <w:t>·         The Pre-</w:t>
      </w:r>
      <w:proofErr w:type="spellStart"/>
      <w:r w:rsidRPr="004D016F">
        <w:rPr>
          <w:rFonts w:ascii="Times New Roman" w:eastAsia="Times New Roman" w:hAnsi="Times New Roman" w:cs="Times New Roman"/>
          <w:b/>
          <w:bCs/>
          <w:sz w:val="24"/>
          <w:szCs w:val="24"/>
        </w:rPr>
        <w:t>Trib</w:t>
      </w:r>
      <w:proofErr w:type="spellEnd"/>
      <w:r w:rsidRPr="004D01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Rapture – </w:t>
      </w:r>
      <w:r w:rsidRPr="004D01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“Christ will come for His Church prior to the 7 year Tribulation.” </w:t>
      </w:r>
      <w:r w:rsidRPr="004D01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1 Thess. 4:13f; 1 Cor. 15:50f,; Rom. 11:24f; Dan. 9:24-27 </w:t>
      </w:r>
    </w:p>
    <w:p w:rsidR="004D016F" w:rsidRPr="004D016F" w:rsidRDefault="004D016F" w:rsidP="004D0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D016F" w:rsidRPr="004D016F" w:rsidRDefault="004D016F" w:rsidP="004D016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F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</w:rPr>
        <w:t>A C3 is established on the witness of C1 and C2 texts, which overlap to point to a plausible inference.</w:t>
      </w:r>
    </w:p>
    <w:p w:rsidR="004D016F" w:rsidRPr="004D016F" w:rsidRDefault="004D016F" w:rsidP="004D0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C4</w:t>
      </w:r>
      <w:r w:rsidRPr="004D01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= a </w:t>
      </w:r>
      <w:r w:rsidRPr="004D01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weak inference</w:t>
      </w:r>
    </w:p>
    <w:p w:rsidR="004D016F" w:rsidRPr="004D016F" w:rsidRDefault="004D016F" w:rsidP="004D0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D016F" w:rsidRPr="004D016F" w:rsidRDefault="004D016F" w:rsidP="004D0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F">
        <w:rPr>
          <w:rFonts w:ascii="Times New Roman" w:eastAsia="Times New Roman" w:hAnsi="Times New Roman" w:cs="Times New Roman"/>
          <w:b/>
          <w:bCs/>
          <w:sz w:val="24"/>
          <w:szCs w:val="24"/>
        </w:rPr>
        <w:t>Examples include:</w:t>
      </w:r>
    </w:p>
    <w:p w:rsidR="004D016F" w:rsidRPr="004D016F" w:rsidRDefault="004D016F" w:rsidP="004D01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F">
        <w:rPr>
          <w:rFonts w:ascii="Times New Roman" w:eastAsia="Times New Roman" w:hAnsi="Times New Roman" w:cs="Times New Roman"/>
          <w:b/>
          <w:bCs/>
          <w:sz w:val="24"/>
          <w:szCs w:val="24"/>
        </w:rPr>
        <w:t>·         The Covenant of Grace – based on ideas like</w:t>
      </w:r>
      <w:r w:rsidRPr="004D01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“the one people of God” </w:t>
      </w:r>
      <w:r w:rsidRPr="004D016F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Pr="004D01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“the church as the new Israel”</w:t>
      </w:r>
    </w:p>
    <w:p w:rsidR="004D016F" w:rsidRPr="004D016F" w:rsidRDefault="004D016F" w:rsidP="004D0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D016F" w:rsidRPr="004D016F" w:rsidRDefault="004D016F" w:rsidP="004D016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F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</w:rPr>
        <w:t>A C4 is founded on no clear or plain statement of Scripture.</w:t>
      </w:r>
    </w:p>
    <w:p w:rsidR="004D016F" w:rsidRPr="004D016F" w:rsidRDefault="004D016F" w:rsidP="004D0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16F" w:rsidRPr="004D016F" w:rsidRDefault="004D016F" w:rsidP="004D0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C5</w:t>
      </w:r>
      <w:r w:rsidRPr="004D01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= an </w:t>
      </w:r>
      <w:r w:rsidRPr="004D01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inference based on another inference</w:t>
      </w:r>
    </w:p>
    <w:p w:rsidR="004D016F" w:rsidRPr="004D016F" w:rsidRDefault="004D016F" w:rsidP="004D0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D016F" w:rsidRPr="004D016F" w:rsidRDefault="004D016F" w:rsidP="004D0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F">
        <w:rPr>
          <w:rFonts w:ascii="Times New Roman" w:eastAsia="Times New Roman" w:hAnsi="Times New Roman" w:cs="Times New Roman"/>
          <w:b/>
          <w:bCs/>
          <w:sz w:val="24"/>
          <w:szCs w:val="24"/>
        </w:rPr>
        <w:t>Examples include:</w:t>
      </w:r>
    </w:p>
    <w:p w:rsidR="004D016F" w:rsidRPr="004D016F" w:rsidRDefault="004D016F" w:rsidP="004D01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F">
        <w:rPr>
          <w:rFonts w:ascii="Times New Roman" w:eastAsia="Times New Roman" w:hAnsi="Times New Roman" w:cs="Times New Roman"/>
          <w:b/>
          <w:bCs/>
          <w:sz w:val="24"/>
          <w:szCs w:val="24"/>
        </w:rPr>
        <w:t>The Christian Sabbath – Sunday replacing the Jewish Sabbath</w:t>
      </w:r>
    </w:p>
    <w:p w:rsidR="004D016F" w:rsidRPr="004D016F" w:rsidRDefault="004D016F" w:rsidP="004D0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D016F" w:rsidRPr="004D016F" w:rsidRDefault="004D016F" w:rsidP="004D016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F">
        <w:rPr>
          <w:rFonts w:ascii="Times New Roman" w:eastAsia="Times New Roman" w:hAnsi="Times New Roman" w:cs="Times New Roman"/>
          <w:color w:val="008000"/>
          <w:sz w:val="24"/>
          <w:szCs w:val="24"/>
        </w:rPr>
        <w:t>A C5 is an even weaker inference based on other theological inferences, without reference to plain statements of Scripture.</w:t>
      </w:r>
    </w:p>
    <w:p w:rsidR="004D016F" w:rsidRDefault="004D016F" w:rsidP="004D0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</w:pPr>
      <w:r w:rsidRPr="004D016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</w:rPr>
        <w:lastRenderedPageBreak/>
        <w:t>Conclusion</w:t>
      </w:r>
      <w:r w:rsidRPr="004D016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 xml:space="preserve">: </w:t>
      </w:r>
    </w:p>
    <w:p w:rsidR="004D016F" w:rsidRPr="004D016F" w:rsidRDefault="004D016F" w:rsidP="004D0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 xml:space="preserve">Christians </w:t>
      </w:r>
      <w:r w:rsidRPr="004D016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 xml:space="preserve">should only formulate 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their</w:t>
      </w:r>
      <w:r w:rsidRPr="004D016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 xml:space="preserve"> beliefs from C1′s and C2′s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,</w:t>
      </w:r>
      <w:r w:rsidRPr="004D016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 xml:space="preserve"> with some reference to C3′s.  On the other hand, doctrines supported only by C4′s and C5′s should be suspected of relying too much on human reasoning without Scripture.</w:t>
      </w:r>
    </w:p>
    <w:p w:rsidR="0033664B" w:rsidRDefault="0033664B"/>
    <w:p w:rsidR="004D016F" w:rsidRDefault="004D016F"/>
    <w:sectPr w:rsidR="004D016F" w:rsidSect="00336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0B71"/>
    <w:multiLevelType w:val="multilevel"/>
    <w:tmpl w:val="227E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B42DF"/>
    <w:multiLevelType w:val="multilevel"/>
    <w:tmpl w:val="584C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514CF"/>
    <w:multiLevelType w:val="multilevel"/>
    <w:tmpl w:val="E7C6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FB7DC8"/>
    <w:multiLevelType w:val="multilevel"/>
    <w:tmpl w:val="54C6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91071D"/>
    <w:multiLevelType w:val="multilevel"/>
    <w:tmpl w:val="1A3E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AC5259"/>
    <w:multiLevelType w:val="multilevel"/>
    <w:tmpl w:val="CF6C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4D016F"/>
    <w:rsid w:val="0033664B"/>
    <w:rsid w:val="004D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64B"/>
  </w:style>
  <w:style w:type="paragraph" w:styleId="Heading2">
    <w:name w:val="heading 2"/>
    <w:basedOn w:val="Normal"/>
    <w:link w:val="Heading2Char"/>
    <w:uiPriority w:val="9"/>
    <w:qFormat/>
    <w:rsid w:val="004D01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016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016F"/>
    <w:rPr>
      <w:b/>
      <w:bCs/>
    </w:rPr>
  </w:style>
  <w:style w:type="character" w:styleId="Emphasis">
    <w:name w:val="Emphasis"/>
    <w:basedOn w:val="DefaultParagraphFont"/>
    <w:uiPriority w:val="20"/>
    <w:qFormat/>
    <w:rsid w:val="004D01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7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4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SIANG LIM</dc:creator>
  <cp:keywords/>
  <dc:description/>
  <cp:lastModifiedBy>SIANG LIM</cp:lastModifiedBy>
  <cp:revision>1</cp:revision>
  <dcterms:created xsi:type="dcterms:W3CDTF">2013-05-20T21:19:00Z</dcterms:created>
  <dcterms:modified xsi:type="dcterms:W3CDTF">2013-05-20T21:22:00Z</dcterms:modified>
</cp:coreProperties>
</file>